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54F23" w:rsidRPr="001169CC" w:rsidTr="001B6AF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554F23" w:rsidRPr="001169CC" w:rsidTr="001B6AF0">
        <w:trPr>
          <w:trHeight w:val="245"/>
        </w:trPr>
        <w:tc>
          <w:tcPr>
            <w:tcW w:w="1799" w:type="dxa"/>
            <w:gridSpan w:val="3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color w:val="000000"/>
                <w:sz w:val="22"/>
                <w:szCs w:val="22"/>
                <w:shd w:val="clear" w:color="auto" w:fill="FFFFFF"/>
              </w:rPr>
              <w:t>Zasvojenosti</w:t>
            </w:r>
          </w:p>
        </w:tc>
      </w:tr>
      <w:tr w:rsidR="00554F23" w:rsidRPr="001169CC" w:rsidTr="001B6AF0">
        <w:tc>
          <w:tcPr>
            <w:tcW w:w="1799" w:type="dxa"/>
            <w:gridSpan w:val="3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Addictions</w:t>
            </w:r>
          </w:p>
        </w:tc>
      </w:tr>
      <w:tr w:rsidR="00554F23" w:rsidRPr="001169CC" w:rsidTr="001B6AF0">
        <w:tc>
          <w:tcPr>
            <w:tcW w:w="3307" w:type="dxa"/>
            <w:gridSpan w:val="5"/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554F23" w:rsidRPr="001169CC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554F23" w:rsidRPr="001169CC" w:rsidTr="001B6AF0">
        <w:trPr>
          <w:trHeight w:val="311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highlight w:val="yellow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Cs/>
                <w:color w:val="FF0000"/>
                <w:sz w:val="22"/>
                <w:szCs w:val="22"/>
              </w:rPr>
            </w:pPr>
          </w:p>
        </w:tc>
      </w:tr>
      <w:tr w:rsidR="00554F23" w:rsidRPr="001169CC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 Pedagogy, 1st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Cs/>
                <w:color w:val="FF0000"/>
                <w:sz w:val="22"/>
                <w:szCs w:val="22"/>
              </w:rPr>
            </w:pPr>
          </w:p>
        </w:tc>
      </w:tr>
      <w:tr w:rsidR="00554F23" w:rsidRPr="001169CC" w:rsidTr="001B6AF0">
        <w:trPr>
          <w:trHeight w:val="103"/>
        </w:trPr>
        <w:tc>
          <w:tcPr>
            <w:tcW w:w="9690" w:type="dxa"/>
            <w:gridSpan w:val="18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54F23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Izbirni / Elective</w:t>
            </w:r>
          </w:p>
        </w:tc>
      </w:tr>
      <w:tr w:rsidR="00554F23" w:rsidRPr="001169CC" w:rsidTr="001B6AF0">
        <w:tc>
          <w:tcPr>
            <w:tcW w:w="5718" w:type="dxa"/>
            <w:gridSpan w:val="12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54F23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</w:tr>
      <w:tr w:rsidR="00554F23" w:rsidRPr="001169CC" w:rsidTr="001B6AF0">
        <w:tc>
          <w:tcPr>
            <w:tcW w:w="9690" w:type="dxa"/>
            <w:gridSpan w:val="18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54F23" w:rsidRPr="001169CC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554F23" w:rsidRPr="001169CC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  <w:r w:rsidR="00EA1F8A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SV</w:t>
            </w:r>
            <w:bookmarkStart w:id="0" w:name="_GoBack"/>
            <w:bookmarkEnd w:id="0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127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554F23" w:rsidRPr="001169CC" w:rsidTr="001B6AF0">
        <w:tc>
          <w:tcPr>
            <w:tcW w:w="9690" w:type="dxa"/>
            <w:gridSpan w:val="18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54F23" w:rsidRPr="001169CC" w:rsidTr="001B6AF0">
        <w:tc>
          <w:tcPr>
            <w:tcW w:w="3307" w:type="dxa"/>
            <w:gridSpan w:val="5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Prof. dr. Friedhelm Peters / </w:t>
            </w:r>
          </w:p>
        </w:tc>
      </w:tr>
      <w:tr w:rsidR="00554F23" w:rsidRPr="001169CC" w:rsidTr="001B6AF0">
        <w:tc>
          <w:tcPr>
            <w:tcW w:w="9690" w:type="dxa"/>
            <w:gridSpan w:val="18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54F23" w:rsidRPr="001169CC" w:rsidTr="001B6AF0">
        <w:trPr>
          <w:trHeight w:val="265"/>
        </w:trPr>
        <w:tc>
          <w:tcPr>
            <w:tcW w:w="1641" w:type="dxa"/>
            <w:gridSpan w:val="2"/>
            <w:vMerge w:val="restart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 / slovene</w:t>
            </w:r>
          </w:p>
        </w:tc>
      </w:tr>
      <w:tr w:rsidR="00554F23" w:rsidRPr="001169CC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 / slovene</w:t>
            </w:r>
          </w:p>
        </w:tc>
      </w:tr>
      <w:tr w:rsidR="00554F23" w:rsidRPr="001169CC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554F23" w:rsidRPr="001169CC" w:rsidTr="001B6AF0">
        <w:trPr>
          <w:trHeight w:val="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554F23" w:rsidRPr="001169CC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554F23" w:rsidRPr="001169CC" w:rsidTr="001B6AF0">
        <w:trPr>
          <w:trHeight w:val="166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554F23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Oblike zasvojenosti (kemične odvisnosti – dovoljene, nedovoljene; nekemične odvisnosti od: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hrane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(bulimia nervosa, anorexia nervosa, kompulzivno prenajedanje, ortoreksija);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iger na srečo za denar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(patološko hazardiranje);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seksualnosti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(seksualna anoreksija);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sanjarjenja, nakupovanja, zadolževanja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…;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igranja iger na računalniku, interneta, spletnih klepetalnic; dela; odnosov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(ženske/moški, ki »preveč« ljubijo)…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Omama kot bistvena sestavina zasvojenosti.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Individualno osebnostna, mikro odnosna ter makro družbena razsežnost zasvojenosti.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Razvoj zasvojenosti pri posamezniku ter pojavne oblike le-teh.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Dejavniki, ki vplivajo/sovplivajo na razvoj ter nastanek določene vrste odvisnosti (dednost/družina, način življenja/družbene vrednote…).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Značilnosti in posledice zasvojenosti (psihološke značilnosti, pomen in vloga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>družine, vloga šole ter drugih institucij, drugi vplivi za nastanek odvisnosti).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Prevencija in zdravljenje zasvojenosti (bolnišnična zdravljenja, komune, terapevtske skupnosti/skupine za samopomoč, psihoterapija, socialno-andragoška metoda…).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Delo s posameznikom, s skupino, s skupnostjo ter druge osnovne kompetence socialno pedagoškega delovanja na področju zasvojenosti.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554F23">
            <w:pPr>
              <w:numPr>
                <w:ilvl w:val="0"/>
                <w:numId w:val="5"/>
              </w:numPr>
              <w:spacing w:line="276" w:lineRule="auto"/>
              <w:ind w:left="714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 xml:space="preserve">Forms of addiction (chemical addiction –  allowed, illicit, non-chemical dependence on food (bulimia nervosa, anorexia nervosa, compulsive overeating, orthorexia),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val="en-GB" w:eastAsia="en-US"/>
              </w:rPr>
              <w:t>gambling for money (pathological gambling), sexuality (sexual anorexia), dreaming, shopping, borrowing ... playing computer games, the Internet, online chat rooms, work, relationships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 xml:space="preserve"> (women / men who "love" too much), etc. 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pacing w:line="276" w:lineRule="auto"/>
              <w:ind w:left="714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Stupor as an essential ingredient of addiction.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pacing w:line="276" w:lineRule="auto"/>
              <w:ind w:left="714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Individual personality, micro-relational and macro-social dimension of addiction.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pacing w:line="276" w:lineRule="auto"/>
              <w:ind w:left="714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The development of addiction in an individual and its appearance forms.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pacing w:line="276" w:lineRule="auto"/>
              <w:ind w:left="714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 xml:space="preserve">Factors that influence / take part in influencing the development and the emergence of a certain type of addiction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lastRenderedPageBreak/>
              <w:t>(inheritance / family, way of life / social values, etc.).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pacing w:line="276" w:lineRule="auto"/>
              <w:ind w:left="714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Characteristics and consequences of addiction (psychological characteristics, significance and role of the family, role of school and of other institutions, other influences on the emergence of addiction).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pacing w:line="276" w:lineRule="auto"/>
              <w:ind w:left="714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Prevention and treatment of addiction (hospital treatment, communes, therapeutic communities / self-help groups, psychotherapy, social-andragogic method, etc.).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ind w:left="714" w:hanging="357"/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Working with an individual, with a group, with the community and other basic competences of social pedagogical activity in the field of addiction.</w:t>
            </w:r>
          </w:p>
        </w:tc>
      </w:tr>
    </w:tbl>
    <w:p w:rsidR="00554F23" w:rsidRPr="001169CC" w:rsidRDefault="00554F23" w:rsidP="00554F23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54F23" w:rsidRPr="001169CC" w:rsidTr="001B6AF0">
        <w:tc>
          <w:tcPr>
            <w:tcW w:w="9690" w:type="dxa"/>
            <w:gridSpan w:val="6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Temeljna literatura in viri / Readings:</w:t>
            </w:r>
          </w:p>
        </w:tc>
      </w:tr>
      <w:tr w:rsidR="00554F23" w:rsidRPr="001169CC" w:rsidTr="001B6AF0">
        <w:trPr>
          <w:trHeight w:val="154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Osnovna literatura/Basic reading:</w:t>
            </w:r>
          </w:p>
          <w:p w:rsidR="00554F23" w:rsidRPr="001169CC" w:rsidRDefault="00554F23" w:rsidP="00554F23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Forward, S. Fraiser, D. (1999).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Čustveno izsiljevanje: kako ljudje vplivajo na nas s strahom, dolžnostjo in krivdo.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Ljubljana: Tangram.</w:t>
            </w:r>
          </w:p>
          <w:p w:rsidR="00554F23" w:rsidRPr="001169CC" w:rsidRDefault="00554F23" w:rsidP="00554F23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Forward, S. Torres, J. (2001).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Strupeni starši: rešite se boleče zapuščine svojih staršev in zaživite svoje življenje.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Ljubljana: Tangram.</w:t>
            </w:r>
          </w:p>
          <w:p w:rsidR="00554F23" w:rsidRPr="001169CC" w:rsidRDefault="00554F23" w:rsidP="00554F23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Rozman, S. (2007).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Peklenska gugalnica.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Ljubljana: Mladinska knjiga.</w:t>
            </w:r>
          </w:p>
          <w:p w:rsidR="00554F23" w:rsidRPr="001169CC" w:rsidRDefault="00554F23" w:rsidP="00554F23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Rugelj, J. (2008).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Pot samouresničevanja: zdravljenje in urejanje zasvojencev in drugih ljudi v stiski: priročnik za zdravo in ustvarjalno življenje.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Ljubljana: Umco.</w:t>
            </w:r>
          </w:p>
          <w:p w:rsidR="00554F23" w:rsidRPr="001169CC" w:rsidRDefault="00554F23" w:rsidP="00554F23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Täschner, K. L. (2002).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Trde droge – mehke droge?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Ptuj: In obs medicus. Str. 13-54.  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GB"/>
              </w:rPr>
              <w:t>eznam literature se vsako študijsko leto aktualizira in dopolnjuje.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/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  <w:t xml:space="preserve">The list of readings will be updated and amended for each study year. 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554F23" w:rsidRPr="001169CC" w:rsidTr="001B6AF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2" w:type="dxa"/>
            <w:gridSpan w:val="2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554F23" w:rsidRPr="001169CC" w:rsidTr="001B6AF0">
        <w:trPr>
          <w:trHeight w:val="111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a.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Cilji: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oblik, razvoja, dejavnikov in posledic zasvojenosti</w:t>
            </w:r>
          </w:p>
          <w:p w:rsidR="00554F23" w:rsidRPr="001169CC" w:rsidRDefault="00554F23" w:rsidP="001B6AF0">
            <w:p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:rsidR="00554F23" w:rsidRPr="001169CC" w:rsidRDefault="00554F23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b. Splošne kompetence:</w:t>
            </w:r>
          </w:p>
          <w:p w:rsidR="00554F23" w:rsidRPr="001169CC" w:rsidRDefault="00554F23" w:rsidP="00554F23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Poznavanje zasvojenosti ter različnih oblik odvisnosti kot enega najbolj množičnega sodobnega socialno-patološkega pojava.</w:t>
            </w:r>
          </w:p>
          <w:p w:rsidR="00554F23" w:rsidRPr="001169CC" w:rsidRDefault="00554F23" w:rsidP="00554F23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Razumevanje strokovno teoretičnih konceptov delovanja na področju odvisnostih.</w:t>
            </w:r>
          </w:p>
          <w:p w:rsidR="00554F23" w:rsidRPr="001169CC" w:rsidRDefault="00554F23" w:rsidP="00554F23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Poznavanje različnih patoloških dejavnikov ter drugih sprožilnih vplivov za razvoj določene vrste odvisnosti.</w:t>
            </w:r>
          </w:p>
          <w:p w:rsidR="00554F23" w:rsidRPr="001169CC" w:rsidRDefault="00554F23" w:rsidP="00554F23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>poznavanje različnih programov, metod, konceptov ter institucij na področju zasvojenosti doma in po svetu.</w:t>
            </w:r>
          </w:p>
          <w:p w:rsidR="00554F23" w:rsidRPr="001169CC" w:rsidRDefault="00554F23" w:rsidP="00554F23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Poznavanje različnih možnosti prevencije in zdravljenja zasvojenosti ter specifičnih odvisnosti.</w:t>
            </w:r>
          </w:p>
          <w:p w:rsidR="00554F23" w:rsidRPr="001169CC" w:rsidRDefault="00554F23" w:rsidP="00554F23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Zasvojenosti. </w:t>
            </w:r>
          </w:p>
          <w:p w:rsidR="00554F23" w:rsidRPr="001169CC" w:rsidRDefault="00554F23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br/>
              <w:t>c. Predmetnospecifične kompetence:</w:t>
            </w:r>
          </w:p>
          <w:p w:rsidR="00554F23" w:rsidRPr="001169CC" w:rsidRDefault="00554F23" w:rsidP="00554F23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Sposobnost poznavanja, udejanjanja ter razvijanja poklicne etike, drugih strokovnih obveznosti ter novih modelov pri socialno pedagoškem delu na področju zasvojenosti.</w:t>
            </w:r>
          </w:p>
          <w:p w:rsidR="00554F23" w:rsidRPr="001169CC" w:rsidRDefault="00554F23" w:rsidP="00554F23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kritične refleksije teoretičnih konceptov obstoječe prakse.</w:t>
            </w:r>
          </w:p>
          <w:p w:rsidR="00554F23" w:rsidRPr="001169CC" w:rsidRDefault="00554F23" w:rsidP="00554F23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sodelovanja z drugimi, soočenje z različnimi mnenji.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554F23">
            <w:pPr>
              <w:numPr>
                <w:ilvl w:val="0"/>
                <w:numId w:val="8"/>
              </w:numPr>
              <w:ind w:left="357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Knowledge of the forms, development, factors, and consequences of addictions. </w:t>
            </w:r>
          </w:p>
          <w:p w:rsidR="00554F23" w:rsidRPr="001169CC" w:rsidRDefault="00554F23" w:rsidP="001B6AF0">
            <w:p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="00554F23" w:rsidRPr="001169CC" w:rsidRDefault="00554F23" w:rsidP="00554F23">
            <w:pPr>
              <w:numPr>
                <w:ilvl w:val="0"/>
                <w:numId w:val="8"/>
              </w:numPr>
              <w:ind w:left="357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addictions and various forms of dependence as one of the most massive social-pathological phenomenon.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professional technical concepts of functioning in the area of dependences.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various pathological factors and of other triggering influences for the development of a certain kind of dependence.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 xml:space="preserve">Knowledge of a variety of programmes, methods, concepts, and institutions in the area of dependences nationally and abroad. 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various ways of preventions and treatment of addiction and of specific dependencies.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Addictions.</w:t>
            </w:r>
          </w:p>
          <w:p w:rsidR="00554F23" w:rsidRPr="001169CC" w:rsidRDefault="00554F23" w:rsidP="00554F23">
            <w:pPr>
              <w:numPr>
                <w:ilvl w:val="0"/>
                <w:numId w:val="8"/>
              </w:numPr>
              <w:spacing w:before="120"/>
              <w:ind w:left="357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knowledge, implementation and development of professional ethics, of other professional obligations and of new models in social-pedagogic work in the area of addictions.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critical reflection of theoretical concept of existing practice.</w:t>
            </w:r>
          </w:p>
          <w:p w:rsidR="00554F23" w:rsidRPr="001169CC" w:rsidRDefault="00554F23" w:rsidP="00554F23">
            <w:pPr>
              <w:numPr>
                <w:ilvl w:val="0"/>
                <w:numId w:val="5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cooperating with others, confrontation with differing views.</w:t>
            </w:r>
          </w:p>
        </w:tc>
      </w:tr>
      <w:tr w:rsidR="00554F23" w:rsidRPr="001169CC" w:rsidTr="001B6AF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554F23" w:rsidRPr="001169CC" w:rsidTr="001B6AF0">
        <w:trPr>
          <w:trHeight w:val="2457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Znanje in razumevanje:</w:t>
            </w:r>
          </w:p>
          <w:p w:rsidR="00554F23" w:rsidRPr="001169CC" w:rsidRDefault="00554F23" w:rsidP="001B6AF0">
            <w:p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Študent/-ka 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 zasvojenosti in različne oblike odvisnosti ter razume njihov vpliv za funkcioniranje človeka kot posameznika ter v sklopu širše družbe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pozna različne koncepte prevencije ter zdravljenja zasvojenosti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kritično reflektira teoretične koncepte obstoječe prakse ter razvija sodobne metode in pristope pomoči na področju socialno pedagoškega polja zasvojenosti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Uporaba: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pridobljeno znanje uporablja v širšem področju socialnopedagoškega vzgojno-izobraževalnega dela.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Refleksija:</w:t>
            </w:r>
          </w:p>
          <w:p w:rsidR="00554F23" w:rsidRPr="001169CC" w:rsidRDefault="00554F23" w:rsidP="00554F23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reflektira/kritično ovrednoti različne različne oblike zasvojenosti.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preverja svoja znanja v praksi.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Knowledge and understanding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know addictions and various forms of dependence and understand their influence for the functioning of a human as individual and wider in the framework of society;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know various concepts of prevention and treating addictions;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critically reflect theoretical concepts of existing practice and develop modern methods and approaches of assistance in the area of social-pedagogic field of addictions.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 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Application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Application of acquired knowledge in the wider area of social-pedagogic educational work.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Reflection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Reflection / critical evaluation of diverse forms of addictions.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Testing knowledge in practice.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</w:p>
        </w:tc>
      </w:tr>
      <w:tr w:rsidR="00554F23" w:rsidRPr="001169CC" w:rsidTr="001B6AF0">
        <w:trPr>
          <w:trHeight w:val="80"/>
        </w:trPr>
        <w:tc>
          <w:tcPr>
            <w:tcW w:w="47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554F23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color w:val="FF0000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</w:tr>
      <w:tr w:rsidR="00554F23" w:rsidRPr="001169CC" w:rsidTr="001B6AF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554F23" w:rsidRPr="001169CC" w:rsidTr="001B6AF0">
        <w:trPr>
          <w:trHeight w:val="106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554F2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Predavanja z aktivno udeležbo študentov (razlaga, diskusija, vprašanja, primeri, reševanje problemov).</w:t>
            </w:r>
          </w:p>
          <w:p w:rsidR="00554F23" w:rsidRPr="001169CC" w:rsidRDefault="00554F23" w:rsidP="00554F2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Seminarska naloga.</w:t>
            </w:r>
          </w:p>
          <w:p w:rsidR="00554F23" w:rsidRPr="001169CC" w:rsidRDefault="00554F23" w:rsidP="00554F23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Študija primera.</w:t>
            </w:r>
          </w:p>
          <w:p w:rsidR="00554F23" w:rsidRPr="001169CC" w:rsidRDefault="00554F23" w:rsidP="00554F23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Individualne in skupinske konzultacije.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Lectures with active participation of students (explanation, discussion, questions, cases, solving problems).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Seminar assignment.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Case study.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Individual and group consultations.</w:t>
            </w:r>
          </w:p>
        </w:tc>
      </w:tr>
      <w:tr w:rsidR="00554F23" w:rsidRPr="001169CC" w:rsidTr="001B6AF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Načini ocenjevanja: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Delež (v %) /</w:t>
            </w: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Assessment:</w:t>
            </w:r>
          </w:p>
        </w:tc>
      </w:tr>
      <w:tr w:rsidR="00554F23" w:rsidRPr="001169CC" w:rsidTr="001B6AF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lastRenderedPageBreak/>
              <w:t>Način (pisni izpit, ustno izpraševanje, naloge, projekt):</w:t>
            </w:r>
          </w:p>
          <w:p w:rsidR="00554F23" w:rsidRPr="001169CC" w:rsidRDefault="00554F23" w:rsidP="00554F2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pisni izpit,</w:t>
            </w:r>
          </w:p>
          <w:p w:rsidR="00554F23" w:rsidRPr="001169CC" w:rsidRDefault="00554F23" w:rsidP="00554F23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554F23" w:rsidRPr="001169CC" w:rsidRDefault="00554F23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70 %</w:t>
            </w:r>
          </w:p>
          <w:p w:rsidR="00554F23" w:rsidRPr="001169CC" w:rsidRDefault="00554F23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30 %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Written exam</w:t>
            </w:r>
          </w:p>
          <w:p w:rsidR="00554F23" w:rsidRPr="001169CC" w:rsidRDefault="00554F23" w:rsidP="00554F23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Oral exam</w:t>
            </w:r>
          </w:p>
        </w:tc>
      </w:tr>
      <w:tr w:rsidR="00554F23" w:rsidRPr="001169CC" w:rsidTr="001B6AF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554F23" w:rsidRPr="001169CC" w:rsidRDefault="00554F23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554F23" w:rsidRPr="001169CC" w:rsidTr="001B6AF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23" w:rsidRPr="001169CC" w:rsidRDefault="00554F23" w:rsidP="00554F23">
            <w:pPr>
              <w:numPr>
                <w:ilvl w:val="0"/>
                <w:numId w:val="9"/>
              </w:numPr>
              <w:ind w:left="709" w:hanging="567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Hilfen zur Erziehung in europäischen Modernisierungsprozessen, Fft/M 2008</w:t>
            </w:r>
          </w:p>
          <w:p w:rsidR="00554F23" w:rsidRPr="001169CC" w:rsidRDefault="00554F23" w:rsidP="00554F23">
            <w:pPr>
              <w:numPr>
                <w:ilvl w:val="0"/>
                <w:numId w:val="9"/>
              </w:numPr>
              <w:ind w:left="709" w:hanging="567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Argumente gegen Geschlossene Unterbringung und Zwang in den Hilfen zur Erziehung. Für eine Erziehung in Freiheit (Mitautor), Fft/M 3013  </w:t>
            </w:r>
          </w:p>
          <w:p w:rsidR="00554F23" w:rsidRPr="001169CC" w:rsidRDefault="00554F23" w:rsidP="00554F23">
            <w:pPr>
              <w:numPr>
                <w:ilvl w:val="0"/>
                <w:numId w:val="9"/>
              </w:numPr>
              <w:ind w:left="709" w:hanging="567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Grundwissen erzieherische Hilfen ( mit. H.U. Krause), 4. überarb. Aufl. Weinheim, Basel, 2014</w:t>
            </w:r>
          </w:p>
          <w:p w:rsidR="00554F23" w:rsidRPr="001169CC" w:rsidRDefault="00554F23" w:rsidP="00554F23">
            <w:pPr>
              <w:numPr>
                <w:ilvl w:val="0"/>
                <w:numId w:val="9"/>
              </w:numPr>
              <w:ind w:left="709" w:hanging="567"/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>Residential Child Care And Its Alternatives , FICE International, UK, 2008</w:t>
            </w:r>
          </w:p>
          <w:p w:rsidR="00554F23" w:rsidRPr="001169CC" w:rsidRDefault="00554F23" w:rsidP="00554F23">
            <w:pPr>
              <w:numPr>
                <w:ilvl w:val="0"/>
                <w:numId w:val="9"/>
              </w:numPr>
              <w:pBdr>
                <w:bottom w:val="single" w:sz="6" w:space="7" w:color="CCCCCC"/>
              </w:pBdr>
              <w:ind w:left="709" w:hanging="567"/>
              <w:outlineLvl w:val="0"/>
              <w:rPr>
                <w:rFonts w:ascii="Calibri Light" w:eastAsia="Times New Roman" w:hAnsi="Calibri Light" w:cs="Calibri Light"/>
                <w:kern w:val="36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Kritisches Glossar der Hilfen zur Erziehung, </w:t>
            </w: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Mitautor</w:t>
            </w: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 , IGFH, Frankfurt am Main, 2014</w:t>
            </w:r>
          </w:p>
          <w:p w:rsidR="00554F23" w:rsidRPr="001169CC" w:rsidRDefault="00554F23" w:rsidP="00554F23">
            <w:pPr>
              <w:numPr>
                <w:ilvl w:val="0"/>
                <w:numId w:val="9"/>
              </w:numPr>
              <w:pBdr>
                <w:bottom w:val="single" w:sz="6" w:space="7" w:color="CCCCCC"/>
              </w:pBdr>
              <w:ind w:left="709" w:hanging="567"/>
              <w:outlineLvl w:val="0"/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Integrierte erzieherische Hilfen, </w:t>
            </w:r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 xml:space="preserve">IGFH, Frankfurt am Main, </w:t>
            </w: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2004</w:t>
            </w:r>
          </w:p>
          <w:p w:rsidR="00554F23" w:rsidRPr="001169CC" w:rsidRDefault="00554F23" w:rsidP="00554F23">
            <w:pPr>
              <w:numPr>
                <w:ilvl w:val="0"/>
                <w:numId w:val="9"/>
              </w:numPr>
              <w:pBdr>
                <w:bottom w:val="single" w:sz="6" w:space="7" w:color="CCCCCC"/>
              </w:pBdr>
              <w:ind w:left="709" w:hanging="567"/>
              <w:outlineLvl w:val="0"/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Werkstattbuch INTEGRA, </w:t>
            </w:r>
            <w:r w:rsidRPr="001169CC">
              <w:rPr>
                <w:rFonts w:ascii="Calibri Light" w:eastAsia="Times New Roman" w:hAnsi="Calibri Light" w:cs="Calibri Light"/>
                <w:bCs/>
                <w:color w:val="000000"/>
                <w:kern w:val="36"/>
                <w:sz w:val="22"/>
                <w:szCs w:val="22"/>
              </w:rPr>
              <w:t xml:space="preserve">Mitautor, </w:t>
            </w: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, </w:t>
            </w:r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 xml:space="preserve">IGFH, Frankfurt am Main,  </w:t>
            </w: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2006</w:t>
            </w:r>
          </w:p>
          <w:p w:rsidR="00554F23" w:rsidRPr="001169CC" w:rsidRDefault="00554F23" w:rsidP="00554F23">
            <w:pPr>
              <w:numPr>
                <w:ilvl w:val="0"/>
                <w:numId w:val="9"/>
              </w:numPr>
              <w:ind w:left="709" w:hanging="56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Challenges for child and youth care: a German-Israeli dialogue,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Mitautor,</w:t>
            </w:r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, </w:t>
            </w:r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 xml:space="preserve">IGFH, Frankfurt am Main, </w:t>
            </w:r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2009</w:t>
            </w:r>
          </w:p>
          <w:p w:rsidR="00554F23" w:rsidRPr="001169CC" w:rsidRDefault="00554F23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67879"/>
    <w:multiLevelType w:val="hybridMultilevel"/>
    <w:tmpl w:val="35BA914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10AA8"/>
    <w:multiLevelType w:val="hybridMultilevel"/>
    <w:tmpl w:val="F2509484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1B4D0D"/>
    <w:multiLevelType w:val="hybridMultilevel"/>
    <w:tmpl w:val="DBE46E60"/>
    <w:lvl w:ilvl="0" w:tplc="4E6AAF44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450341"/>
    <w:multiLevelType w:val="hybridMultilevel"/>
    <w:tmpl w:val="BB265304"/>
    <w:lvl w:ilvl="0" w:tplc="A830BB5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AC7144F"/>
    <w:multiLevelType w:val="hybridMultilevel"/>
    <w:tmpl w:val="8D080310"/>
    <w:lvl w:ilvl="0" w:tplc="0424000F">
      <w:start w:val="1"/>
      <w:numFmt w:val="decimal"/>
      <w:lvlText w:val="%1."/>
      <w:lvlJc w:val="left"/>
      <w:pPr>
        <w:ind w:left="3240" w:hanging="360"/>
      </w:pPr>
    </w:lvl>
    <w:lvl w:ilvl="1" w:tplc="04240019" w:tentative="1">
      <w:start w:val="1"/>
      <w:numFmt w:val="lowerLetter"/>
      <w:lvlText w:val="%2."/>
      <w:lvlJc w:val="left"/>
      <w:pPr>
        <w:ind w:left="3960" w:hanging="360"/>
      </w:pPr>
    </w:lvl>
    <w:lvl w:ilvl="2" w:tplc="0424001B" w:tentative="1">
      <w:start w:val="1"/>
      <w:numFmt w:val="lowerRoman"/>
      <w:lvlText w:val="%3."/>
      <w:lvlJc w:val="right"/>
      <w:pPr>
        <w:ind w:left="4680" w:hanging="180"/>
      </w:pPr>
    </w:lvl>
    <w:lvl w:ilvl="3" w:tplc="0424000F" w:tentative="1">
      <w:start w:val="1"/>
      <w:numFmt w:val="decimal"/>
      <w:lvlText w:val="%4."/>
      <w:lvlJc w:val="left"/>
      <w:pPr>
        <w:ind w:left="5400" w:hanging="360"/>
      </w:pPr>
    </w:lvl>
    <w:lvl w:ilvl="4" w:tplc="04240019" w:tentative="1">
      <w:start w:val="1"/>
      <w:numFmt w:val="lowerLetter"/>
      <w:lvlText w:val="%5."/>
      <w:lvlJc w:val="left"/>
      <w:pPr>
        <w:ind w:left="6120" w:hanging="360"/>
      </w:pPr>
    </w:lvl>
    <w:lvl w:ilvl="5" w:tplc="0424001B" w:tentative="1">
      <w:start w:val="1"/>
      <w:numFmt w:val="lowerRoman"/>
      <w:lvlText w:val="%6."/>
      <w:lvlJc w:val="right"/>
      <w:pPr>
        <w:ind w:left="6840" w:hanging="180"/>
      </w:pPr>
    </w:lvl>
    <w:lvl w:ilvl="6" w:tplc="0424000F" w:tentative="1">
      <w:start w:val="1"/>
      <w:numFmt w:val="decimal"/>
      <w:lvlText w:val="%7."/>
      <w:lvlJc w:val="left"/>
      <w:pPr>
        <w:ind w:left="7560" w:hanging="360"/>
      </w:pPr>
    </w:lvl>
    <w:lvl w:ilvl="7" w:tplc="04240019" w:tentative="1">
      <w:start w:val="1"/>
      <w:numFmt w:val="lowerLetter"/>
      <w:lvlText w:val="%8."/>
      <w:lvlJc w:val="left"/>
      <w:pPr>
        <w:ind w:left="8280" w:hanging="360"/>
      </w:pPr>
    </w:lvl>
    <w:lvl w:ilvl="8" w:tplc="0424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" w15:restartNumberingAfterBreak="0">
    <w:nsid w:val="714D5F3F"/>
    <w:multiLevelType w:val="hybridMultilevel"/>
    <w:tmpl w:val="65BE91E2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691C1E"/>
    <w:multiLevelType w:val="hybridMultilevel"/>
    <w:tmpl w:val="42A632E4"/>
    <w:lvl w:ilvl="0" w:tplc="4E6AAF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104F16"/>
    <w:multiLevelType w:val="hybridMultilevel"/>
    <w:tmpl w:val="81EA6C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F23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54F23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65A32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A1F8A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78C3B"/>
  <w15:chartTrackingRefBased/>
  <w15:docId w15:val="{F658AA78-2454-44DF-AD57-8D41C5141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54F23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F45F973B-F210-45F5-AA8F-DAD5D99F640A}"/>
</file>

<file path=customXml/itemProps2.xml><?xml version="1.0" encoding="utf-8"?>
<ds:datastoreItem xmlns:ds="http://schemas.openxmlformats.org/officeDocument/2006/customXml" ds:itemID="{80637D74-B8B8-47C8-A0B0-91D6FC843C9C}"/>
</file>

<file path=customXml/itemProps3.xml><?xml version="1.0" encoding="utf-8"?>
<ds:datastoreItem xmlns:ds="http://schemas.openxmlformats.org/officeDocument/2006/customXml" ds:itemID="{BFC35E57-BEE6-44A2-BB0B-A39505E2F7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1340</Words>
  <Characters>7643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2023-11-14T13:56:00Z</dcterms:created>
  <dcterms:modified xsi:type="dcterms:W3CDTF">2023-11-14T13:56:00Z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16446200</vt:r8>
  </property>
</Properties>
</file>